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i w:val="1"/>
          <w:sz w:val="26"/>
        </w:rPr>
      </w:pPr>
      <w:bookmarkStart w:id="1" w:name="_GoBack"/>
      <w:r>
        <w:rPr>
          <w:rFonts w:ascii="Times New Roman" w:hAnsi="Times New Roman"/>
          <w:i w:val="1"/>
          <w:sz w:val="26"/>
        </w:rPr>
        <w:t>Приложение №1</w:t>
      </w:r>
    </w:p>
    <w:p w14:paraId="02000000">
      <w:pPr>
        <w:spacing w:line="36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Методические рекомендации по организации акции </w:t>
      </w:r>
      <w:r>
        <w:rPr>
          <w:rFonts w:ascii="Times New Roman" w:hAnsi="Times New Roman"/>
          <w:b w:val="1"/>
          <w:sz w:val="26"/>
        </w:rPr>
        <w:br/>
      </w:r>
      <w:r>
        <w:rPr>
          <w:rFonts w:ascii="Times New Roman" w:hAnsi="Times New Roman"/>
          <w:b w:val="1"/>
          <w:sz w:val="26"/>
        </w:rPr>
        <w:t>«Медицинский десант</w:t>
      </w:r>
      <w:bookmarkEnd w:id="1"/>
      <w:r>
        <w:rPr>
          <w:rFonts w:ascii="Times New Roman" w:hAnsi="Times New Roman"/>
          <w:b w:val="1"/>
          <w:sz w:val="26"/>
        </w:rPr>
        <w:t xml:space="preserve">» сторонников Единой России, </w:t>
      </w:r>
      <w:r>
        <w:rPr>
          <w:rFonts w:ascii="Times New Roman" w:hAnsi="Times New Roman"/>
          <w:b w:val="1"/>
          <w:sz w:val="26"/>
        </w:rPr>
        <w:br/>
      </w:r>
      <w:r>
        <w:rPr>
          <w:rFonts w:ascii="Times New Roman" w:hAnsi="Times New Roman"/>
          <w:b w:val="1"/>
          <w:sz w:val="26"/>
        </w:rPr>
        <w:t>приуроченного к празднованию Дня защитника Отечества</w:t>
      </w:r>
    </w:p>
    <w:p w14:paraId="03000000">
      <w:pPr>
        <w:numPr>
          <w:ilvl w:val="0"/>
          <w:numId w:val="1"/>
        </w:numPr>
        <w:spacing w:line="360" w:lineRule="auto"/>
        <w:ind w:firstLine="567" w:left="0"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ИНФОРМАЦИЯ ОБ АКЦИИ</w:t>
      </w:r>
    </w:p>
    <w:p w14:paraId="04000000">
      <w:pPr>
        <w:spacing w:after="0" w:line="36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данный момент существует ряд проблем в медицинском обслуживании для семей военнослужащих в месте расположения воинских формирований и военных городках:</w:t>
      </w:r>
    </w:p>
    <w:p w14:paraId="05000000">
      <w:pPr>
        <w:spacing w:after="0" w:line="36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отсутствие возможности прохожд</w:t>
      </w:r>
      <w:r>
        <w:rPr>
          <w:rFonts w:ascii="Times New Roman" w:hAnsi="Times New Roman"/>
          <w:sz w:val="26"/>
        </w:rPr>
        <w:t xml:space="preserve">ения полноценных медицинских осмотров; </w:t>
      </w:r>
    </w:p>
    <w:p w14:paraId="06000000">
      <w:pPr>
        <w:spacing w:after="0" w:line="360" w:lineRule="auto"/>
        <w:ind w:firstLine="567" w:left="0"/>
        <w:jc w:val="both"/>
        <w:rPr>
          <w:rFonts w:ascii="Times New Roman" w:hAnsi="Times New Roman"/>
          <w:sz w:val="26"/>
        </w:rPr>
      </w:pPr>
      <w:bookmarkStart w:id="2" w:name="_gjdgxs"/>
      <w:bookmarkEnd w:id="2"/>
      <w:r>
        <w:rPr>
          <w:rFonts w:ascii="Times New Roman" w:hAnsi="Times New Roman"/>
          <w:sz w:val="26"/>
        </w:rPr>
        <w:t>отсутствие широкого выбора специалистов в самой части (</w:t>
      </w:r>
      <w:r>
        <w:rPr>
          <w:rFonts w:ascii="Times New Roman" w:hAnsi="Times New Roman"/>
          <w:i w:val="1"/>
          <w:sz w:val="26"/>
        </w:rPr>
        <w:t>примечание: зачастую это один врач-терапевт)</w:t>
      </w:r>
      <w:r>
        <w:rPr>
          <w:rFonts w:ascii="Times New Roman" w:hAnsi="Times New Roman"/>
          <w:sz w:val="26"/>
        </w:rPr>
        <w:t>.</w:t>
      </w:r>
    </w:p>
    <w:p w14:paraId="07000000">
      <w:pPr>
        <w:spacing w:after="0" w:line="36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Пока часть мужского населения России отстаивает интересы страны, их </w:t>
      </w:r>
      <w:r>
        <w:rPr>
          <w:rFonts w:ascii="Times New Roman" w:hAnsi="Times New Roman"/>
          <w:b w:val="1"/>
          <w:sz w:val="26"/>
        </w:rPr>
        <w:t>близкие нуждаются в заботе и поддержке</w:t>
      </w:r>
      <w:r>
        <w:rPr>
          <w:rFonts w:ascii="Times New Roman" w:hAnsi="Times New Roman"/>
          <w:sz w:val="26"/>
        </w:rPr>
        <w:t>. В связи</w:t>
      </w:r>
      <w:r>
        <w:rPr>
          <w:rFonts w:ascii="Times New Roman" w:hAnsi="Times New Roman"/>
          <w:sz w:val="26"/>
        </w:rPr>
        <w:t xml:space="preserve"> с этим Региональные советы сторонников Единой России организуют выезды узких медицинских специалистов в военные городки и закрытые части ко Дню защитника Отечества для оказания помощи семьям военнослужащих. Ведь именно сейчас им так необходима всестороння</w:t>
      </w:r>
      <w:r>
        <w:rPr>
          <w:rFonts w:ascii="Times New Roman" w:hAnsi="Times New Roman"/>
          <w:sz w:val="26"/>
        </w:rPr>
        <w:t>я поддержка, когда дома в тылу царит благоприятная обстановка, то глава семьи в зоне специальной военной операции сосредоточен на выполнении поставленных задач.</w:t>
      </w:r>
    </w:p>
    <w:p w14:paraId="08000000">
      <w:pPr>
        <w:spacing w:after="0" w:line="36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Период реализации акции: 20-28 февраля 2023 года. </w:t>
      </w:r>
    </w:p>
    <w:p w14:paraId="09000000">
      <w:pPr>
        <w:spacing w:after="0" w:line="36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Предложения локаций по организации мероприят</w:t>
      </w:r>
      <w:r>
        <w:rPr>
          <w:rFonts w:ascii="Times New Roman" w:hAnsi="Times New Roman"/>
          <w:sz w:val="26"/>
        </w:rPr>
        <w:t xml:space="preserve">ий: </w:t>
      </w:r>
    </w:p>
    <w:p w14:paraId="0A000000">
      <w:pPr>
        <w:numPr>
          <w:ilvl w:val="0"/>
          <w:numId w:val="2"/>
        </w:numPr>
        <w:spacing w:after="0" w:line="360" w:lineRule="auto"/>
        <w:ind w:firstLine="0" w:left="709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военный городок;</w:t>
      </w:r>
    </w:p>
    <w:p w14:paraId="0B000000">
      <w:pPr>
        <w:numPr>
          <w:ilvl w:val="0"/>
          <w:numId w:val="2"/>
        </w:numPr>
        <w:spacing w:after="0" w:line="360" w:lineRule="auto"/>
        <w:ind w:firstLine="0" w:left="709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общежитие при военных частях в черте города и за его пределами; </w:t>
      </w:r>
    </w:p>
    <w:p w14:paraId="0C000000">
      <w:pPr>
        <w:numPr>
          <w:ilvl w:val="0"/>
          <w:numId w:val="2"/>
        </w:numPr>
        <w:spacing w:after="0" w:line="360" w:lineRule="auto"/>
        <w:ind w:firstLine="0" w:left="709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Дома офицеров; </w:t>
      </w:r>
    </w:p>
    <w:p w14:paraId="0D000000">
      <w:pPr>
        <w:numPr>
          <w:ilvl w:val="0"/>
          <w:numId w:val="2"/>
        </w:numPr>
        <w:spacing w:after="0" w:line="360" w:lineRule="auto"/>
        <w:ind w:firstLine="0" w:left="709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 другие возможные альтернативные варианты.</w:t>
      </w:r>
    </w:p>
    <w:p w14:paraId="0E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ОСНОВНЫЕ ЭТАПЫ РЕАЛИЗАЦИИ АКЦИИ.</w:t>
      </w:r>
    </w:p>
    <w:p w14:paraId="0F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Проработать необходимую потребность в медицинском обслуживании семей военнослужащих с военными частями и военными гарнизонами (при отсутствии таковой сообщить письменно на почту </w:t>
      </w:r>
      <w:r>
        <w:rPr>
          <w:rFonts w:ascii="Times New Roman" w:hAnsi="Times New Roman"/>
          <w:color w:val="0563C1"/>
          <w:sz w:val="26"/>
          <w:u w:val="single"/>
        </w:rPr>
        <w:fldChar w:fldCharType="begin"/>
      </w:r>
      <w:r>
        <w:rPr>
          <w:rFonts w:ascii="Times New Roman" w:hAnsi="Times New Roman"/>
          <w:color w:val="0563C1"/>
          <w:sz w:val="26"/>
          <w:u w:val="single"/>
        </w:rPr>
        <w:instrText>HYPERLINK "mailto:storonniki-info@edinros.ru"</w:instrText>
      </w:r>
      <w:r>
        <w:rPr>
          <w:rFonts w:ascii="Times New Roman" w:hAnsi="Times New Roman"/>
          <w:color w:val="0563C1"/>
          <w:sz w:val="26"/>
          <w:u w:val="single"/>
        </w:rPr>
        <w:fldChar w:fldCharType="separate"/>
      </w:r>
      <w:r>
        <w:rPr>
          <w:rFonts w:ascii="Times New Roman" w:hAnsi="Times New Roman"/>
          <w:color w:val="0563C1"/>
          <w:sz w:val="26"/>
          <w:u w:val="single"/>
        </w:rPr>
        <w:t>storonniki-info@edinros.r</w:t>
      </w:r>
      <w:r>
        <w:rPr>
          <w:rFonts w:ascii="Times New Roman" w:hAnsi="Times New Roman"/>
          <w:color w:val="0563C1"/>
          <w:sz w:val="26"/>
          <w:u w:val="single"/>
        </w:rPr>
        <w:t>u</w:t>
      </w:r>
      <w:r>
        <w:rPr>
          <w:rFonts w:ascii="Times New Roman" w:hAnsi="Times New Roman"/>
          <w:color w:val="0563C1"/>
          <w:sz w:val="26"/>
          <w:u w:val="single"/>
        </w:rPr>
        <w:fldChar w:fldCharType="end"/>
      </w:r>
      <w:r>
        <w:rPr>
          <w:rFonts w:ascii="Times New Roman" w:hAnsi="Times New Roman"/>
          <w:color w:val="000000"/>
          <w:sz w:val="26"/>
        </w:rPr>
        <w:t>).</w:t>
      </w:r>
    </w:p>
    <w:p w14:paraId="10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Сформировать перечень медицинских специалистов, необходимо уделить особое внимание на специалистов службы психологической помощи для семей военнослужащих.</w:t>
      </w:r>
    </w:p>
    <w:p w14:paraId="11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Определить оптимальную локацию (для всех участников события), дату проведения мероприятия.</w:t>
      </w:r>
    </w:p>
    <w:p w14:paraId="12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Совмес</w:t>
      </w:r>
      <w:r>
        <w:rPr>
          <w:rFonts w:ascii="Times New Roman" w:hAnsi="Times New Roman"/>
          <w:color w:val="000000"/>
          <w:sz w:val="26"/>
        </w:rPr>
        <w:t>тно с региональными органами власти в сфере охраны здоровья проработать алгоритм оказания помощи, при наличии партнерских связей с частными клиниками проработать вариант вовлечения их персонала в качестве добровольческой/благотворительной помощи.</w:t>
      </w:r>
    </w:p>
    <w:p w14:paraId="13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Направить данные о проведении мероприятия по форме на электронную почту </w:t>
      </w:r>
      <w:r>
        <w:rPr>
          <w:rFonts w:ascii="Times New Roman" w:hAnsi="Times New Roman"/>
          <w:color w:val="000000"/>
          <w:sz w:val="26"/>
        </w:rPr>
        <w:br/>
      </w:r>
      <w:r>
        <w:rPr>
          <w:rFonts w:ascii="Times New Roman" w:hAnsi="Times New Roman"/>
          <w:color w:val="0563C1"/>
          <w:sz w:val="26"/>
          <w:u w:val="single"/>
        </w:rPr>
        <w:fldChar w:fldCharType="begin"/>
      </w:r>
      <w:r>
        <w:rPr>
          <w:rFonts w:ascii="Times New Roman" w:hAnsi="Times New Roman"/>
          <w:color w:val="0563C1"/>
          <w:sz w:val="26"/>
          <w:u w:val="single"/>
        </w:rPr>
        <w:instrText>HYPERLINK "mailto:storonniki-info@edinros.ru"</w:instrText>
      </w:r>
      <w:r>
        <w:rPr>
          <w:rFonts w:ascii="Times New Roman" w:hAnsi="Times New Roman"/>
          <w:color w:val="0563C1"/>
          <w:sz w:val="26"/>
          <w:u w:val="single"/>
        </w:rPr>
        <w:fldChar w:fldCharType="separate"/>
      </w:r>
      <w:r>
        <w:rPr>
          <w:rFonts w:ascii="Times New Roman" w:hAnsi="Times New Roman"/>
          <w:color w:val="0563C1"/>
          <w:sz w:val="26"/>
          <w:u w:val="single"/>
        </w:rPr>
        <w:t>storonniki-info@edinros.ru</w:t>
      </w:r>
      <w:r>
        <w:rPr>
          <w:rFonts w:ascii="Times New Roman" w:hAnsi="Times New Roman"/>
          <w:color w:val="0563C1"/>
          <w:sz w:val="26"/>
          <w:u w:val="single"/>
        </w:rPr>
        <w:fldChar w:fldCharType="end"/>
      </w:r>
      <w:r>
        <w:rPr>
          <w:rFonts w:ascii="Times New Roman" w:hAnsi="Times New Roman"/>
          <w:color w:val="000000"/>
          <w:sz w:val="26"/>
        </w:rPr>
        <w:t xml:space="preserve"> не позднее 16 февраля 2023 года 18.00 (по </w:t>
      </w:r>
      <w:r>
        <w:rPr>
          <w:rFonts w:ascii="Times New Roman" w:hAnsi="Times New Roman"/>
          <w:color w:val="000000"/>
          <w:sz w:val="26"/>
        </w:rPr>
        <w:t>мск</w:t>
      </w:r>
      <w:r>
        <w:rPr>
          <w:rFonts w:ascii="Times New Roman" w:hAnsi="Times New Roman"/>
          <w:color w:val="000000"/>
          <w:sz w:val="26"/>
        </w:rPr>
        <w:t>), Приложении №2.</w:t>
      </w:r>
    </w:p>
    <w:p w14:paraId="14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Организовать и провести мероприятие в пе</w:t>
      </w:r>
      <w:r>
        <w:rPr>
          <w:rFonts w:ascii="Times New Roman" w:hAnsi="Times New Roman"/>
          <w:color w:val="000000"/>
          <w:sz w:val="26"/>
        </w:rPr>
        <w:t xml:space="preserve">риод с 20-28 февраля 2023 года, </w:t>
      </w:r>
      <w:r>
        <w:rPr>
          <w:rFonts w:ascii="Times New Roman" w:hAnsi="Times New Roman"/>
          <w:color w:val="000000"/>
          <w:sz w:val="26"/>
        </w:rPr>
        <w:br/>
      </w:r>
      <w:r>
        <w:rPr>
          <w:rFonts w:ascii="Times New Roman" w:hAnsi="Times New Roman"/>
          <w:color w:val="000000"/>
          <w:sz w:val="26"/>
        </w:rPr>
        <w:t>в формате «Дней единых действий» сторонников Единой России по всей стране (</w:t>
      </w:r>
      <w:r>
        <w:rPr>
          <w:rFonts w:ascii="Times New Roman" w:hAnsi="Times New Roman"/>
          <w:i w:val="1"/>
          <w:color w:val="000000"/>
          <w:sz w:val="26"/>
        </w:rPr>
        <w:t>примечание: 27,28 февраля – региональная неделя Депутатов ГД</w:t>
      </w:r>
      <w:r>
        <w:rPr>
          <w:rFonts w:ascii="Times New Roman" w:hAnsi="Times New Roman"/>
          <w:color w:val="000000"/>
          <w:sz w:val="26"/>
        </w:rPr>
        <w:t>).</w:t>
      </w:r>
    </w:p>
    <w:p w14:paraId="15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 итогам проведения мероприятия необходимо внести данные участников Акции в модуль «Мобилизация» (</w:t>
      </w:r>
      <w:r>
        <w:rPr>
          <w:rFonts w:ascii="Times New Roman" w:hAnsi="Times New Roman"/>
          <w:i w:val="1"/>
          <w:color w:val="000000"/>
          <w:sz w:val="26"/>
        </w:rPr>
        <w:t>примечание: основная ячейка для такой категории активистов «сторонник-участник»</w:t>
      </w:r>
      <w:r>
        <w:rPr>
          <w:rFonts w:ascii="Times New Roman" w:hAnsi="Times New Roman"/>
          <w:color w:val="000000"/>
          <w:sz w:val="26"/>
        </w:rPr>
        <w:t>).</w:t>
      </w:r>
    </w:p>
    <w:p w14:paraId="16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Распространить пресс-релизы о мероприятии в СМИ, публикации в социальных се</w:t>
      </w:r>
      <w:r>
        <w:rPr>
          <w:rFonts w:ascii="Times New Roman" w:hAnsi="Times New Roman"/>
          <w:color w:val="000000"/>
          <w:sz w:val="26"/>
        </w:rPr>
        <w:t xml:space="preserve">тях необходимо сопровождать </w:t>
      </w:r>
      <w:r>
        <w:rPr>
          <w:rFonts w:ascii="Times New Roman" w:hAnsi="Times New Roman"/>
          <w:color w:val="000000"/>
          <w:sz w:val="26"/>
        </w:rPr>
        <w:t>хештегами</w:t>
      </w:r>
      <w:r>
        <w:rPr>
          <w:rFonts w:ascii="Times New Roman" w:hAnsi="Times New Roman"/>
          <w:color w:val="000000"/>
          <w:sz w:val="26"/>
        </w:rPr>
        <w:t>: #</w:t>
      </w:r>
      <w:r>
        <w:rPr>
          <w:rFonts w:ascii="Times New Roman" w:hAnsi="Times New Roman"/>
          <w:color w:val="000000"/>
          <w:sz w:val="26"/>
        </w:rPr>
        <w:t>СторонникиЕР</w:t>
      </w:r>
      <w:r>
        <w:rPr>
          <w:rFonts w:ascii="Times New Roman" w:hAnsi="Times New Roman"/>
          <w:color w:val="000000"/>
          <w:sz w:val="26"/>
        </w:rPr>
        <w:t xml:space="preserve"> #</w:t>
      </w:r>
      <w:r>
        <w:rPr>
          <w:rFonts w:ascii="Times New Roman" w:hAnsi="Times New Roman"/>
          <w:color w:val="000000"/>
          <w:sz w:val="26"/>
        </w:rPr>
        <w:t>ПартияДобрыхДел</w:t>
      </w:r>
      <w:r>
        <w:rPr>
          <w:rFonts w:ascii="Times New Roman" w:hAnsi="Times New Roman"/>
          <w:color w:val="000000"/>
          <w:sz w:val="26"/>
        </w:rPr>
        <w:t xml:space="preserve"> #</w:t>
      </w:r>
      <w:r>
        <w:rPr>
          <w:rFonts w:ascii="Times New Roman" w:hAnsi="Times New Roman"/>
          <w:color w:val="000000"/>
          <w:sz w:val="26"/>
        </w:rPr>
        <w:t>СвоихНеБросаем</w:t>
      </w:r>
      <w:r>
        <w:rPr>
          <w:rFonts w:ascii="Times New Roman" w:hAnsi="Times New Roman"/>
          <w:color w:val="000000"/>
          <w:sz w:val="26"/>
        </w:rPr>
        <w:t xml:space="preserve">. </w:t>
      </w:r>
    </w:p>
    <w:p w14:paraId="17000000">
      <w:pPr>
        <w:numPr>
          <w:ilvl w:val="0"/>
          <w:numId w:val="1"/>
        </w:numPr>
        <w:spacing w:after="0" w:line="360" w:lineRule="auto"/>
        <w:ind w:firstLine="567" w:left="0"/>
        <w:jc w:val="both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РАБОТА С ПАРТНЕРАМИ.</w:t>
      </w:r>
    </w:p>
    <w:p w14:paraId="18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 реализации данной Акции необходимо привлечь партнеров как из числа региональных органов власти, бизнеса, так и представителей некоммерческих и </w:t>
      </w:r>
      <w:r>
        <w:rPr>
          <w:rFonts w:ascii="Times New Roman" w:hAnsi="Times New Roman"/>
          <w:color w:val="000000"/>
          <w:sz w:val="26"/>
        </w:rPr>
        <w:t xml:space="preserve">добровольческих организаций. </w:t>
      </w:r>
    </w:p>
    <w:p w14:paraId="19000000">
      <w:pPr>
        <w:spacing w:after="0" w:line="360" w:lineRule="auto"/>
        <w:ind w:firstLine="567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Перечень потенциальных партнеров: </w:t>
      </w:r>
    </w:p>
    <w:p w14:paraId="1A000000">
      <w:pPr>
        <w:numPr>
          <w:ilvl w:val="0"/>
          <w:numId w:val="3"/>
        </w:numPr>
        <w:spacing w:after="0" w:line="360" w:lineRule="auto"/>
        <w:ind w:firstLine="0" w:left="567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региональные органы исполнительной власти в сфере охраны здоровья; </w:t>
      </w:r>
    </w:p>
    <w:p w14:paraId="1B000000">
      <w:pPr>
        <w:numPr>
          <w:ilvl w:val="0"/>
          <w:numId w:val="3"/>
        </w:numPr>
        <w:spacing w:after="0" w:line="360" w:lineRule="auto"/>
        <w:ind w:firstLine="0" w:left="567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частные медицинские клиники;</w:t>
      </w:r>
    </w:p>
    <w:p w14:paraId="1C000000">
      <w:pPr>
        <w:numPr>
          <w:ilvl w:val="0"/>
          <w:numId w:val="3"/>
        </w:numPr>
        <w:spacing w:after="0" w:line="360" w:lineRule="auto"/>
        <w:ind w:firstLine="0" w:left="567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ВОД «Волонтеры-медики»; </w:t>
      </w:r>
    </w:p>
    <w:p w14:paraId="1D000000">
      <w:pPr>
        <w:numPr>
          <w:ilvl w:val="0"/>
          <w:numId w:val="3"/>
        </w:numPr>
        <w:spacing w:after="0" w:line="360" w:lineRule="auto"/>
        <w:ind w:firstLine="0" w:left="567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Российский красный крест; </w:t>
      </w:r>
    </w:p>
    <w:p w14:paraId="1E000000">
      <w:pPr>
        <w:numPr>
          <w:ilvl w:val="0"/>
          <w:numId w:val="3"/>
        </w:numPr>
        <w:spacing w:after="0" w:line="360" w:lineRule="auto"/>
        <w:ind w:firstLine="0" w:left="567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Региональные отделения/представители Медицинских палат;</w:t>
      </w:r>
    </w:p>
    <w:p w14:paraId="1F000000">
      <w:pPr>
        <w:numPr>
          <w:ilvl w:val="0"/>
          <w:numId w:val="3"/>
        </w:numPr>
        <w:spacing w:after="0" w:line="360" w:lineRule="auto"/>
        <w:ind w:firstLine="0" w:left="567"/>
        <w:jc w:val="both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 др. некоммерческие организации в сфере здравоохранения.</w:t>
      </w:r>
    </w:p>
    <w:p w14:paraId="20000000">
      <w:pPr>
        <w:spacing w:line="360" w:lineRule="auto"/>
        <w:ind w:firstLine="0" w:left="567"/>
        <w:jc w:val="right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Приложение №2</w:t>
      </w:r>
    </w:p>
    <w:tbl>
      <w:tblPr>
        <w:tblStyle w:val="Style_1"/>
        <w:tblInd w:type="dxa" w:w="-99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94"/>
        <w:gridCol w:w="7797"/>
      </w:tblGrid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Инициатор </w:t>
            </w:r>
            <w:r>
              <w:rPr>
                <w:rFonts w:ascii="Times New Roman" w:hAnsi="Times New Roman"/>
                <w:b w:val="1"/>
                <w:sz w:val="26"/>
              </w:rPr>
              <w:t>инфоповода</w:t>
            </w:r>
            <w:r>
              <w:rPr>
                <w:rFonts w:ascii="Times New Roman" w:hAnsi="Times New Roman"/>
                <w:b w:val="1"/>
                <w:sz w:val="26"/>
              </w:rPr>
              <w:t xml:space="preserve"> 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Дата, место, информационный повод 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Актуальность и история проблемы </w:t>
            </w:r>
            <w:r>
              <w:rPr>
                <w:rFonts w:ascii="Times New Roman" w:hAnsi="Times New Roman"/>
                <w:b w:val="1"/>
                <w:i w:val="1"/>
                <w:sz w:val="26"/>
              </w:rPr>
              <w:t>(не более 2х абзацев)</w:t>
            </w:r>
            <w:r>
              <w:rPr>
                <w:rFonts w:ascii="Times New Roman" w:hAnsi="Times New Roman"/>
                <w:b w:val="1"/>
                <w:sz w:val="26"/>
              </w:rPr>
              <w:t xml:space="preserve"> 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tabs>
                <w:tab w:leader="none" w:pos="325" w:val="left"/>
              </w:tabs>
              <w:spacing w:after="0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Формат, описание </w:t>
            </w:r>
            <w:r>
              <w:rPr>
                <w:rFonts w:ascii="Times New Roman" w:hAnsi="Times New Roman"/>
                <w:b w:val="1"/>
                <w:sz w:val="26"/>
              </w:rPr>
              <w:t>инфоповода</w:t>
            </w:r>
            <w:r>
              <w:rPr>
                <w:rFonts w:ascii="Times New Roman" w:hAnsi="Times New Roman"/>
                <w:b w:val="1"/>
                <w:sz w:val="26"/>
              </w:rPr>
              <w:t xml:space="preserve"> </w:t>
            </w:r>
            <w:r>
              <w:rPr>
                <w:rFonts w:ascii="Times New Roman" w:hAnsi="Times New Roman"/>
                <w:b w:val="1"/>
                <w:sz w:val="26"/>
              </w:rPr>
              <w:br/>
            </w:r>
            <w:r>
              <w:rPr>
                <w:rFonts w:ascii="Times New Roman" w:hAnsi="Times New Roman"/>
                <w:b w:val="1"/>
                <w:i w:val="1"/>
                <w:sz w:val="26"/>
              </w:rPr>
              <w:t>(2-3 абзаца)</w:t>
            </w:r>
            <w:r>
              <w:rPr>
                <w:rFonts w:ascii="Times New Roman" w:hAnsi="Times New Roman"/>
                <w:b w:val="1"/>
                <w:sz w:val="26"/>
              </w:rPr>
              <w:t xml:space="preserve"> 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tabs>
                <w:tab w:leader="none" w:pos="325" w:val="left"/>
              </w:tabs>
              <w:spacing w:after="0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Электоральное сообщение 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widowControl w:val="0"/>
              <w:spacing w:after="0" w:line="276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135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Спикеры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Развитие темы </w:t>
            </w:r>
            <w:r>
              <w:rPr>
                <w:rFonts w:ascii="Times New Roman" w:hAnsi="Times New Roman"/>
                <w:b w:val="1"/>
                <w:sz w:val="26"/>
              </w:rPr>
              <w:br/>
            </w:r>
            <w:r>
              <w:rPr>
                <w:rFonts w:ascii="Times New Roman" w:hAnsi="Times New Roman"/>
                <w:b w:val="1"/>
                <w:i w:val="1"/>
                <w:sz w:val="26"/>
              </w:rPr>
              <w:t>(при наличии)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Контактное лицо</w:t>
            </w:r>
          </w:p>
          <w:p w14:paraId="30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6"/>
              </w:rPr>
            </w:pPr>
            <w:r>
              <w:rPr>
                <w:rFonts w:ascii="Times New Roman" w:hAnsi="Times New Roman"/>
                <w:b w:val="1"/>
                <w:i w:val="1"/>
                <w:sz w:val="26"/>
              </w:rPr>
              <w:t xml:space="preserve">(ФИО, контактные данные) </w:t>
            </w:r>
          </w:p>
        </w:tc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</w:tbl>
    <w:p w14:paraId="32000000">
      <w:pPr>
        <w:spacing w:after="0" w:line="360" w:lineRule="auto"/>
        <w:ind w:firstLine="0" w:left="567"/>
        <w:jc w:val="center"/>
        <w:rPr>
          <w:rFonts w:ascii="Times New Roman" w:hAnsi="Times New Roman"/>
          <w:i w:val="1"/>
          <w:color w:val="000000"/>
          <w:sz w:val="26"/>
        </w:rPr>
      </w:pPr>
    </w:p>
    <w:p w14:paraId="33000000">
      <w:pPr>
        <w:spacing w:after="0" w:line="360" w:lineRule="auto"/>
        <w:ind w:firstLine="0" w:left="780"/>
        <w:jc w:val="both"/>
        <w:rPr>
          <w:rFonts w:ascii="Times New Roman" w:hAnsi="Times New Roman"/>
          <w:color w:val="000000"/>
          <w:sz w:val="26"/>
        </w:rPr>
      </w:pPr>
    </w:p>
    <w:sectPr>
      <w:pgSz w:h="16838" w:orient="portrait" w:w="11906"/>
      <w:pgMar w:bottom="1134" w:footer="708" w:gutter="0" w:header="708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⎯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2">
    <w:lvl w:ilvl="0">
      <w:start w:val="1"/>
      <w:numFmt w:val="bullet"/>
      <w:lvlText w:val="⎯"/>
      <w:lvlJc w:val="left"/>
      <w:pPr>
        <w:ind w:hanging="360" w:left="1571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3011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3731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5171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891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7331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7_ch" w:type="character">
    <w:name w:val="heading 3"/>
    <w:basedOn w:val="Style_2_ch"/>
    <w:link w:val="Style_7"/>
    <w:rPr>
      <w:b w:val="1"/>
      <w:sz w:val="28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basedOn w:val="Style_2"/>
    <w:next w:val="Style_2"/>
    <w:link w:val="Style_9_ch"/>
    <w:uiPriority w:val="9"/>
    <w:qFormat/>
    <w:pPr>
      <w:keepNext w:val="1"/>
      <w:keepLines w:val="1"/>
      <w:spacing w:after="40" w:before="220"/>
      <w:ind/>
      <w:outlineLvl w:val="4"/>
    </w:pPr>
    <w:rPr>
      <w:b w:val="1"/>
    </w:rPr>
  </w:style>
  <w:style w:styleId="Style_9_ch" w:type="character">
    <w:name w:val="heading 5"/>
    <w:basedOn w:val="Style_2_ch"/>
    <w:link w:val="Style_9"/>
    <w:rPr>
      <w:b w:val="1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0_ch" w:type="character">
    <w:name w:val="heading 1"/>
    <w:basedOn w:val="Style_2_ch"/>
    <w:link w:val="Style_10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basedOn w:val="Style_2"/>
    <w:next w:val="Style_2"/>
    <w:link w:val="Style_19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9_ch" w:type="character">
    <w:name w:val="Subtitle"/>
    <w:basedOn w:val="Style_2_ch"/>
    <w:link w:val="Style_19"/>
    <w:rPr>
      <w:rFonts w:ascii="Georgia" w:hAnsi="Georgia"/>
      <w:i w:val="1"/>
      <w:color w:val="666666"/>
      <w:sz w:val="48"/>
    </w:rPr>
  </w:style>
  <w:style w:styleId="Style_20" w:type="paragraph">
    <w:name w:val="Title"/>
    <w:basedOn w:val="Style_2"/>
    <w:next w:val="Style_2"/>
    <w:link w:val="Style_20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0_ch" w:type="character">
    <w:name w:val="Title"/>
    <w:basedOn w:val="Style_2_ch"/>
    <w:link w:val="Style_20"/>
    <w:rPr>
      <w:b w:val="1"/>
      <w:sz w:val="72"/>
    </w:rPr>
  </w:style>
  <w:style w:styleId="Style_21" w:type="paragraph">
    <w:name w:val="heading 4"/>
    <w:basedOn w:val="Style_2"/>
    <w:next w:val="Style_2"/>
    <w:link w:val="Style_21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1_ch" w:type="character">
    <w:name w:val="heading 4"/>
    <w:basedOn w:val="Style_2_ch"/>
    <w:link w:val="Style_21"/>
    <w:rPr>
      <w:b w:val="1"/>
      <w:sz w:val="24"/>
    </w:rPr>
  </w:style>
  <w:style w:styleId="Style_22" w:type="paragraph">
    <w:name w:val="heading 2"/>
    <w:basedOn w:val="Style_2"/>
    <w:next w:val="Style_2"/>
    <w:link w:val="Style_22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2_ch" w:type="character">
    <w:name w:val="heading 2"/>
    <w:basedOn w:val="Style_2_ch"/>
    <w:link w:val="Style_22"/>
    <w:rPr>
      <w:b w:val="1"/>
      <w:sz w:val="36"/>
    </w:rPr>
  </w:style>
  <w:style w:styleId="Style_23" w:type="paragraph">
    <w:name w:val="heading 6"/>
    <w:basedOn w:val="Style_2"/>
    <w:next w:val="Style_2"/>
    <w:link w:val="Style_23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3_ch" w:type="character">
    <w:name w:val="heading 6"/>
    <w:basedOn w:val="Style_2_ch"/>
    <w:link w:val="Style_23"/>
    <w:rPr>
      <w:b w:val="1"/>
      <w:sz w:val="20"/>
    </w:rPr>
  </w:style>
  <w:style w:styleId="Style_24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basedOn w:val="Style_24"/>
    <w:semiHidden w:val="1"/>
    <w:unhideWhenUsed w:val="1"/>
    <w:tblPr>
      <w:tblCellMar>
        <w:top w:type="dxa" w:w="0"/>
        <w:left w:type="dxa" w:w="115"/>
        <w:bottom w:type="dxa" w:w="0"/>
        <w:right w:type="dxa" w:w="115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2023-02-01T07:13:01Z</dcterms:modified>
</cp:coreProperties>
</file>